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96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bauarbeiten, Straßenerhaltungsmaßnahmen - Asphaltmaßnahmen 2026-2028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i der Ausschreibung handelt es sich um Straßenerhaltungsmaßnahmen im öffentlichen Raum der Stadt Münster.
Diese umfassen ca. 20 Einzelbaumaßnahmen &lt; 1 000 m2 und ca. 25 Einzelbaumaßnahmen &gt; 1 000 m2. Alle Einzelbaumaßnahmen liegen verteilt im Stadtgebiet von Münster. Der Ausführungszeitraum für die Maßnahmen beträgt ca. 24 Monate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